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E0D52" w14:textId="77777777" w:rsidR="00F12501" w:rsidRPr="000E2B6F" w:rsidRDefault="004F3A8A" w:rsidP="000E2B6F">
      <w:pPr>
        <w:pStyle w:val="Title"/>
        <w:rPr>
          <w:rFonts w:ascii="Arial" w:hAnsi="Arial" w:cs="Arial"/>
          <w:color w:val="auto"/>
          <w:sz w:val="24"/>
          <w:szCs w:val="24"/>
        </w:rPr>
      </w:pPr>
      <w:r w:rsidRPr="000E2B6F">
        <w:rPr>
          <w:rFonts w:ascii="Arial" w:hAnsi="Arial" w:cs="Arial"/>
          <w:color w:val="auto"/>
          <w:sz w:val="24"/>
          <w:szCs w:val="24"/>
        </w:rPr>
        <w:t>Safer Recruitment &amp; Selection Policy</w:t>
      </w:r>
    </w:p>
    <w:p w14:paraId="15E1DCC8" w14:textId="77777777" w:rsidR="00F12501" w:rsidRPr="000E2B6F" w:rsidRDefault="00F12501">
      <w:pPr>
        <w:pStyle w:val="Subtitle"/>
        <w:rPr>
          <w:rFonts w:ascii="Arial" w:hAnsi="Arial" w:cs="Arial"/>
          <w:color w:val="auto"/>
        </w:rPr>
      </w:pPr>
    </w:p>
    <w:tbl>
      <w:tblPr>
        <w:tblStyle w:val="LightShading-Accent1"/>
        <w:tblW w:w="0" w:type="auto"/>
        <w:tblLayout w:type="fixed"/>
        <w:tblLook w:val="04A0" w:firstRow="1" w:lastRow="0" w:firstColumn="1" w:lastColumn="0" w:noHBand="0" w:noVBand="1"/>
      </w:tblPr>
      <w:tblGrid>
        <w:gridCol w:w="2376"/>
        <w:gridCol w:w="7128"/>
      </w:tblGrid>
      <w:tr w:rsidR="00F12501" w:rsidRPr="000E2B6F" w14:paraId="233FF327" w14:textId="77777777" w:rsidTr="00F125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il"/>
              <w:bottom w:val="nil"/>
            </w:tcBorders>
            <w:shd w:val="clear" w:color="auto" w:fill="DCEAF1"/>
            <w:vAlign w:val="center"/>
          </w:tcPr>
          <w:p w14:paraId="14DF9DE8" w14:textId="77777777" w:rsidR="00F12501" w:rsidRPr="000E2B6F" w:rsidRDefault="004F3A8A">
            <w:pPr>
              <w:rPr>
                <w:rFonts w:ascii="Arial" w:hAnsi="Arial" w:cs="Arial"/>
                <w:color w:val="auto"/>
                <w:sz w:val="24"/>
                <w:szCs w:val="24"/>
              </w:rPr>
            </w:pPr>
            <w:r w:rsidRPr="000E2B6F">
              <w:rPr>
                <w:rFonts w:cs="Arial"/>
                <w:color w:val="auto"/>
                <w:sz w:val="18"/>
                <w:szCs w:val="24"/>
              </w:rPr>
              <w:t>Policy owner</w:t>
            </w:r>
          </w:p>
        </w:tc>
        <w:tc>
          <w:tcPr>
            <w:tcW w:w="7128" w:type="dxa"/>
            <w:tcBorders>
              <w:top w:val="nil"/>
              <w:bottom w:val="nil"/>
            </w:tcBorders>
            <w:vAlign w:val="center"/>
          </w:tcPr>
          <w:p w14:paraId="61B97810" w14:textId="77777777" w:rsidR="00F12501" w:rsidRPr="000E2B6F" w:rsidRDefault="004F3A8A">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sidRPr="000E2B6F">
              <w:rPr>
                <w:rFonts w:cs="Arial"/>
                <w:b w:val="0"/>
                <w:color w:val="auto"/>
                <w:sz w:val="18"/>
                <w:szCs w:val="24"/>
              </w:rPr>
              <w:t>Director of Operations &amp; Growth / Director of Education &amp; Quality</w:t>
            </w:r>
          </w:p>
        </w:tc>
      </w:tr>
      <w:tr w:rsidR="00F12501" w:rsidRPr="000E2B6F" w14:paraId="33F2E447" w14:textId="77777777" w:rsidTr="00F12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il"/>
              <w:bottom w:val="nil"/>
            </w:tcBorders>
            <w:shd w:val="clear" w:color="auto" w:fill="DCEAF1"/>
            <w:vAlign w:val="center"/>
          </w:tcPr>
          <w:p w14:paraId="675FE3E0" w14:textId="77777777" w:rsidR="00F12501" w:rsidRPr="000E2B6F" w:rsidRDefault="004F3A8A">
            <w:pPr>
              <w:rPr>
                <w:rFonts w:ascii="Arial" w:hAnsi="Arial" w:cs="Arial"/>
                <w:color w:val="auto"/>
                <w:sz w:val="24"/>
                <w:szCs w:val="24"/>
              </w:rPr>
            </w:pPr>
            <w:r w:rsidRPr="000E2B6F">
              <w:rPr>
                <w:rFonts w:cs="Arial"/>
                <w:color w:val="auto"/>
                <w:sz w:val="18"/>
                <w:szCs w:val="24"/>
              </w:rPr>
              <w:t>Approved by</w:t>
            </w:r>
          </w:p>
        </w:tc>
        <w:tc>
          <w:tcPr>
            <w:tcW w:w="7128" w:type="dxa"/>
            <w:tcBorders>
              <w:top w:val="nil"/>
              <w:bottom w:val="nil"/>
            </w:tcBorders>
            <w:vAlign w:val="center"/>
          </w:tcPr>
          <w:p w14:paraId="64B5F7DE" w14:textId="77777777" w:rsidR="00D92284" w:rsidRDefault="00000000">
            <w:pPr>
              <w:cnfStyle w:val="000000100000" w:firstRow="0" w:lastRow="0" w:firstColumn="0" w:lastColumn="0" w:oddVBand="0" w:evenVBand="0" w:oddHBand="1" w:evenHBand="0" w:firstRowFirstColumn="0" w:firstRowLastColumn="0" w:lastRowFirstColumn="0" w:lastRowLastColumn="0"/>
            </w:pPr>
            <w:r>
              <w:t>Both Directors — Approved</w:t>
            </w:r>
          </w:p>
        </w:tc>
      </w:tr>
      <w:tr w:rsidR="00F12501" w:rsidRPr="000E2B6F" w14:paraId="0CC9403E" w14:textId="77777777" w:rsidTr="00F12501">
        <w:tc>
          <w:tcPr>
            <w:cnfStyle w:val="001000000000" w:firstRow="0" w:lastRow="0" w:firstColumn="1" w:lastColumn="0" w:oddVBand="0" w:evenVBand="0" w:oddHBand="0" w:evenHBand="0" w:firstRowFirstColumn="0" w:firstRowLastColumn="0" w:lastRowFirstColumn="0" w:lastRowLastColumn="0"/>
            <w:tcW w:w="2376" w:type="dxa"/>
            <w:tcBorders>
              <w:top w:val="nil"/>
              <w:left w:val="nil"/>
              <w:bottom w:val="nil"/>
              <w:right w:val="nil"/>
            </w:tcBorders>
            <w:shd w:val="clear" w:color="auto" w:fill="DCEAF1"/>
            <w:vAlign w:val="center"/>
          </w:tcPr>
          <w:p w14:paraId="082C4F76" w14:textId="77777777" w:rsidR="00F12501" w:rsidRPr="000E2B6F" w:rsidRDefault="004F3A8A">
            <w:pPr>
              <w:rPr>
                <w:rFonts w:ascii="Arial" w:hAnsi="Arial" w:cs="Arial"/>
                <w:color w:val="auto"/>
                <w:sz w:val="24"/>
                <w:szCs w:val="24"/>
              </w:rPr>
            </w:pPr>
            <w:r w:rsidRPr="000E2B6F">
              <w:rPr>
                <w:rFonts w:cs="Arial"/>
                <w:color w:val="auto"/>
                <w:sz w:val="18"/>
                <w:szCs w:val="24"/>
              </w:rPr>
              <w:t>Version / issue</w:t>
            </w:r>
          </w:p>
        </w:tc>
        <w:tc>
          <w:tcPr>
            <w:tcW w:w="7128" w:type="dxa"/>
            <w:tcBorders>
              <w:top w:val="nil"/>
              <w:left w:val="nil"/>
              <w:bottom w:val="nil"/>
              <w:right w:val="nil"/>
            </w:tcBorders>
            <w:vAlign w:val="center"/>
          </w:tcPr>
          <w:p w14:paraId="26F12947" w14:textId="77777777" w:rsidR="00F12501" w:rsidRPr="000E2B6F" w:rsidRDefault="004F3A8A">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proofErr w:type="gramStart"/>
            <w:r w:rsidRPr="000E2B6F">
              <w:rPr>
                <w:rFonts w:cs="Arial"/>
                <w:color w:val="auto"/>
                <w:sz w:val="18"/>
                <w:szCs w:val="24"/>
              </w:rPr>
              <w:t>1.0  |</w:t>
            </w:r>
            <w:proofErr w:type="gramEnd"/>
            <w:r w:rsidRPr="000E2B6F">
              <w:rPr>
                <w:rFonts w:cs="Arial"/>
                <w:color w:val="auto"/>
                <w:sz w:val="18"/>
                <w:szCs w:val="24"/>
              </w:rPr>
              <w:t xml:space="preserve">  October 2026</w:t>
            </w:r>
          </w:p>
        </w:tc>
      </w:tr>
      <w:tr w:rsidR="00F12501" w:rsidRPr="000E2B6F" w14:paraId="64DCEBB1" w14:textId="77777777" w:rsidTr="00F12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il"/>
              <w:bottom w:val="nil"/>
            </w:tcBorders>
            <w:shd w:val="clear" w:color="auto" w:fill="DCEAF1"/>
            <w:vAlign w:val="center"/>
          </w:tcPr>
          <w:p w14:paraId="1FB24DE3" w14:textId="77777777" w:rsidR="00F12501" w:rsidRPr="000E2B6F" w:rsidRDefault="004F3A8A">
            <w:pPr>
              <w:rPr>
                <w:rFonts w:ascii="Arial" w:hAnsi="Arial" w:cs="Arial"/>
                <w:color w:val="auto"/>
                <w:sz w:val="24"/>
                <w:szCs w:val="24"/>
              </w:rPr>
            </w:pPr>
            <w:r w:rsidRPr="000E2B6F">
              <w:rPr>
                <w:rFonts w:cs="Arial"/>
                <w:color w:val="auto"/>
                <w:sz w:val="18"/>
                <w:szCs w:val="24"/>
              </w:rPr>
              <w:t>Review date</w:t>
            </w:r>
          </w:p>
        </w:tc>
        <w:tc>
          <w:tcPr>
            <w:tcW w:w="7128" w:type="dxa"/>
            <w:tcBorders>
              <w:top w:val="nil"/>
              <w:bottom w:val="nil"/>
            </w:tcBorders>
            <w:vAlign w:val="center"/>
          </w:tcPr>
          <w:p w14:paraId="1662BC42" w14:textId="77777777" w:rsidR="00F12501" w:rsidRPr="000E2B6F" w:rsidRDefault="004F3A8A">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24"/>
                <w:szCs w:val="24"/>
              </w:rPr>
            </w:pPr>
            <w:r w:rsidRPr="000E2B6F">
              <w:rPr>
                <w:rFonts w:cs="Arial"/>
                <w:color w:val="auto"/>
                <w:sz w:val="18"/>
                <w:szCs w:val="24"/>
              </w:rPr>
              <w:t>October 2027 or earlier if required</w:t>
            </w:r>
          </w:p>
        </w:tc>
      </w:tr>
      <w:tr w:rsidR="00F12501" w:rsidRPr="000E2B6F" w14:paraId="3396C32C" w14:textId="77777777" w:rsidTr="00F12501">
        <w:tc>
          <w:tcPr>
            <w:cnfStyle w:val="001000000000" w:firstRow="0" w:lastRow="0" w:firstColumn="1" w:lastColumn="0" w:oddVBand="0" w:evenVBand="0" w:oddHBand="0" w:evenHBand="0" w:firstRowFirstColumn="0" w:firstRowLastColumn="0" w:lastRowFirstColumn="0" w:lastRowLastColumn="0"/>
            <w:tcW w:w="2376" w:type="dxa"/>
            <w:tcBorders>
              <w:top w:val="nil"/>
              <w:left w:val="nil"/>
              <w:bottom w:val="nil"/>
              <w:right w:val="nil"/>
            </w:tcBorders>
            <w:shd w:val="clear" w:color="auto" w:fill="DCEAF1"/>
            <w:vAlign w:val="center"/>
          </w:tcPr>
          <w:p w14:paraId="0A4ADC97" w14:textId="77777777" w:rsidR="00F12501" w:rsidRPr="000E2B6F" w:rsidRDefault="004F3A8A">
            <w:pPr>
              <w:rPr>
                <w:rFonts w:ascii="Arial" w:hAnsi="Arial" w:cs="Arial"/>
                <w:color w:val="auto"/>
                <w:sz w:val="24"/>
                <w:szCs w:val="24"/>
              </w:rPr>
            </w:pPr>
            <w:r w:rsidRPr="000E2B6F">
              <w:rPr>
                <w:rFonts w:cs="Arial"/>
                <w:color w:val="auto"/>
                <w:sz w:val="18"/>
                <w:szCs w:val="24"/>
              </w:rPr>
              <w:t>Applies to</w:t>
            </w:r>
          </w:p>
        </w:tc>
        <w:tc>
          <w:tcPr>
            <w:tcW w:w="7128" w:type="dxa"/>
            <w:tcBorders>
              <w:top w:val="nil"/>
              <w:left w:val="nil"/>
              <w:bottom w:val="nil"/>
              <w:right w:val="nil"/>
            </w:tcBorders>
            <w:vAlign w:val="center"/>
          </w:tcPr>
          <w:p w14:paraId="74FD46EC" w14:textId="77777777" w:rsidR="00F12501" w:rsidRPr="000E2B6F" w:rsidRDefault="004F3A8A">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0E2B6F">
              <w:rPr>
                <w:rFonts w:cs="Arial"/>
                <w:color w:val="auto"/>
                <w:sz w:val="18"/>
                <w:szCs w:val="24"/>
              </w:rPr>
              <w:t>Employees, applicants, agency staff, contractors, volunteers and other relevant users</w:t>
            </w:r>
          </w:p>
        </w:tc>
      </w:tr>
    </w:tbl>
    <w:p w14:paraId="39CA3724" w14:textId="77777777" w:rsidR="00F12501" w:rsidRPr="000E2B6F" w:rsidRDefault="004F3A8A">
      <w:pPr>
        <w:rPr>
          <w:rFonts w:ascii="Arial" w:hAnsi="Arial" w:cs="Arial"/>
          <w:color w:val="auto"/>
          <w:sz w:val="24"/>
          <w:szCs w:val="24"/>
        </w:rPr>
      </w:pPr>
      <w:r>
        <w:t>Status: Approved</w:t>
      </w:r>
    </w:p>
    <w:p w14:paraId="1DB236D9"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1. Purpose and principles</w:t>
      </w:r>
    </w:p>
    <w:p w14:paraId="58EEE358"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SWAG Youth CIC is committed to recruiting capable, suitable and appropriately vetted people to work safely with young people aged 14–24. Recruitment decisions must protect children and adults at risk, uphold equality of opportunity and be supported by objective evidence.</w:t>
      </w:r>
    </w:p>
    <w:p w14:paraId="5F948FDE"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The policy applies to employment, casual and temporary appointments, agency placements, contractors, volunteers, apprentices and any person whose duties may involve contact with participants or access to sensitive information. Different checks may apply depending on the role and the legal eligibility criteria.</w:t>
      </w:r>
    </w:p>
    <w:p w14:paraId="61601CE0"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2. Legislative and guidance framework</w:t>
      </w:r>
    </w:p>
    <w:p w14:paraId="3F40A66D"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Recruitment will be conducted with reference to the Equality Act 2010, Employment Rights Act 1996, UK GDPR and Data Protection Act 2018, Rehabilitation of Offenders Act 1974 and applicable exceptions, Safeguarding Vulnerable Groups Act 2006, Police Act 1997 and relevant Disclosure and Barring Service (DBS) guidance. Where appropriate, SWAG will take account of Keeping Children Safe in Education as a safeguarding benchmark; it does not automatically apply to every CIC in the same way as a school.</w:t>
      </w:r>
    </w:p>
    <w:p w14:paraId="2E3D7067"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Checks must be legally justified for the specific position. Enhanced DBS and barred-list checks are not universal requirements for every post; relevant eligibility and regulated-activity assessments will be recorded before a request is made.</w:t>
      </w:r>
    </w:p>
    <w:p w14:paraId="060DD9DE"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3. Governance and accountability</w:t>
      </w:r>
    </w:p>
    <w:p w14:paraId="5C6BC0D6"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The Director of Operations &amp; Growth is responsible for coordinating recruitment records, employment administration, recruitment-system security and ensuring checks are completed and recorded. The Director of Education &amp; Quality is responsible for assessing safeguarding suitability, role-specific risks, safer recruitment practice and appropriate induction. Both Directors retain joint oversight of recruitment decisions and escalations.</w:t>
      </w:r>
    </w:p>
    <w:p w14:paraId="2CD1AB82"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 xml:space="preserve">The Designated Safeguarding Lead (DSL), where nominated separately, advises on concerns about suitability, allegations or disclosures. Staff involved in shortlisting and interviewing must be trained or briefed on safeguarding recruitment, equal opportunity and </w:t>
      </w:r>
      <w:r w:rsidRPr="000E2B6F">
        <w:rPr>
          <w:rFonts w:ascii="Arial" w:hAnsi="Arial" w:cs="Arial"/>
          <w:color w:val="auto"/>
          <w:sz w:val="24"/>
          <w:szCs w:val="24"/>
        </w:rPr>
        <w:lastRenderedPageBreak/>
        <w:t>bias management. No individual should approve an exception to safeguards without documented director-level authorisation and a lawful basis.</w:t>
      </w:r>
    </w:p>
    <w:p w14:paraId="02AD64EF"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4. Workforce planning, role design and advertising</w:t>
      </w:r>
    </w:p>
    <w:p w14:paraId="5105DBF9"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Before advertising, SWAG will approve a job description and person specification distinguishing essential from desirable criteria, identify contact with under-18s or adults at risk, assess DBS eligibility, confirm supervision and determine any occupational requirements. Advertisements must state SWAG’s commitment to safeguarding, equal opportunities, required checks and the conditional nature of offers.</w:t>
      </w:r>
    </w:p>
    <w:p w14:paraId="68D4AD4F"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Application materials will invite appropriate disclosure at the lawful stage and provide reasonable adjustment information. Advertising and selection methods should reach a diverse candidate pool and avoid unnecessary barriers.</w:t>
      </w:r>
    </w:p>
    <w:p w14:paraId="420995FA"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5. Application screening and shortlisting</w:t>
      </w:r>
    </w:p>
    <w:p w14:paraId="04CB6F57"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Shortlisting will be undertaken against a common scoring framework using evidence from the application, with reasons documented. Where practicable, at least two people will review applications independently and reconcile differences. Employment history, unexplained gaps and inconsistencies will be explored fairly, without assuming wrongdoing. Candidates will not be rejected solely for non-linear career paths, disability-related gaps or caring responsibilities.</w:t>
      </w:r>
    </w:p>
    <w:p w14:paraId="0B7B1614"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Where a public online search is justified for a shortlisted candidate in a role involving children, SWAG will give advance notice, confine the search to publicly available and relevant material, record necessary findings and allow the candidate to respond. Private social media accounts must not be accessed deceptively.</w:t>
      </w:r>
    </w:p>
    <w:p w14:paraId="0C0ABCF5"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6. Unconscious bias, discrimination and fair decisions</w:t>
      </w:r>
    </w:p>
    <w:p w14:paraId="12FFC59E"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SWAG recognises that conscious or unconscious bias may affect recruitment, including assumptions connected to age, disability, race, sex, pregnancy or maternity, religion or belief, sexual orientation, gender reassignment, marriage or civil partnership, socio-economic background, accent, appearance, name, education or career history. Selection will be based on job-relevant evidence rather than similarity, personal affinity, stereotypes or informal impressions.</w:t>
      </w:r>
    </w:p>
    <w:p w14:paraId="794D043A"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Panel members must declare conflicts of interest, use structured questions and anchored scoring, assess each candidate against the same criteria and make reasonable adjustments. Panel discussions must test unsupported judgments such as “not a culture fit”, separate safeguarding concerns from protected characteristics, and keep a written rationale. Diversity information, if collected, must be voluntary, protected and separate from selection decisions.</w:t>
      </w:r>
    </w:p>
    <w:p w14:paraId="1AA8305D" w14:textId="77777777" w:rsidR="00F12501" w:rsidRPr="000E2B6F" w:rsidRDefault="004F3A8A">
      <w:pPr>
        <w:pStyle w:val="Heading2"/>
        <w:rPr>
          <w:rFonts w:ascii="Arial" w:hAnsi="Arial" w:cs="Arial"/>
          <w:color w:val="auto"/>
          <w:sz w:val="24"/>
          <w:szCs w:val="24"/>
        </w:rPr>
      </w:pPr>
      <w:r w:rsidRPr="000E2B6F">
        <w:rPr>
          <w:rFonts w:ascii="Arial" w:hAnsi="Arial" w:cs="Arial"/>
          <w:color w:val="auto"/>
          <w:sz w:val="24"/>
          <w:szCs w:val="24"/>
        </w:rPr>
        <w:lastRenderedPageBreak/>
        <w:t>6.1 Practical bias controls</w:t>
      </w:r>
    </w:p>
    <w:p w14:paraId="41542D09"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Use standardised person specifications, interview questions and scorecards, with weighted criteria agreed before applications are reviewed.</w:t>
      </w:r>
    </w:p>
    <w:p w14:paraId="55509686"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Where feasible, remove names and other irrelevant identifiers at initial sift; do not claim anonymisation eliminates all bias.</w:t>
      </w:r>
    </w:p>
    <w:p w14:paraId="0FAB6DDF"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Offer accessible formats, alternative interview arrangements and reasonable adjustments; assess outcomes rather than unnecessary presentation conventions.</w:t>
      </w:r>
    </w:p>
    <w:p w14:paraId="3EA2B9A9"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Keep written evidence for decisions, challenge inconsistent ratings and ensure no person with an undeclared conflict controls the outcome.</w:t>
      </w:r>
    </w:p>
    <w:p w14:paraId="03B96456"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Keep safeguarding checks rigorous but proportionate; a criminal record or gap is not automatically disqualifying unless the law requires exclusion or assessed risk makes appointment inappropriate.</w:t>
      </w:r>
    </w:p>
    <w:p w14:paraId="7A4AE5D8"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7. Interviews and safeguarding assessment</w:t>
      </w:r>
    </w:p>
    <w:p w14:paraId="26608EEC"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Interviews will explore job capability, values, professional boundaries, safeguarding judgment, whistleblowing, appropriate digital contact with young people, supervision and responses to scenarios. For roles in regular contact with participants, at least one assessor should have appropriate safer recruitment knowledge. Identity and qualifications may be reviewed at interview and verified before appointment.</w:t>
      </w:r>
    </w:p>
    <w:p w14:paraId="6157CC86"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Interviewers will make contemporaneous notes and record decisions securely. Any inconsistencies or suitability concerns must be examined objectively and, where relevant, referred to the DSL and Directors.</w:t>
      </w:r>
    </w:p>
    <w:p w14:paraId="004E13E4"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8. Conditional offers and pre-employment checks</w:t>
      </w:r>
    </w:p>
    <w:p w14:paraId="4E5DB1D2"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No appointment will be treated as unconditional until all checks relevant to the role are satisfactorily completed and documented. Checks ordinarily include identity, right to work, employment history, references, essential qualifications, safeguarding declarations where lawful, and suitable DBS checking where eligible. Professional registration, overseas checks or other confirmations may be appropriate for some posts.</w:t>
      </w:r>
    </w:p>
    <w:p w14:paraId="7B7BB4A1"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References should normally be obtained directly from referees, including the most recent relevant employer; for work involving children, reasonable efforts should be made to obtain a reference addressing suitability and any substantiated safeguarding concerns, using lawful questions. Open testimonials or references supplied only by the candidate are insufficient on their own. Any discrepancies must be considered fairly and recorded.</w:t>
      </w:r>
    </w:p>
    <w:p w14:paraId="53CD8FEE" w14:textId="77777777" w:rsidR="00F12501" w:rsidRPr="000E2B6F" w:rsidRDefault="004F3A8A">
      <w:pPr>
        <w:pStyle w:val="Heading2"/>
        <w:rPr>
          <w:rFonts w:ascii="Arial" w:hAnsi="Arial" w:cs="Arial"/>
          <w:color w:val="auto"/>
          <w:sz w:val="24"/>
          <w:szCs w:val="24"/>
        </w:rPr>
      </w:pPr>
      <w:r w:rsidRPr="000E2B6F">
        <w:rPr>
          <w:rFonts w:ascii="Arial" w:hAnsi="Arial" w:cs="Arial"/>
          <w:color w:val="auto"/>
          <w:sz w:val="24"/>
          <w:szCs w:val="24"/>
        </w:rPr>
        <w:t>8.1 DBS and barred-list eligibility</w:t>
      </w:r>
    </w:p>
    <w:p w14:paraId="101778A7"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SWAG will document the legal DBS level applicable to each role before requesting a check, including whether duties constitute regulated activity with children or adults. A Children’s Barred List check must only be requested where the position is eligible. Appropriate barred-</w:t>
      </w:r>
      <w:r w:rsidRPr="000E2B6F">
        <w:rPr>
          <w:rFonts w:ascii="Arial" w:hAnsi="Arial" w:cs="Arial"/>
          <w:color w:val="auto"/>
          <w:sz w:val="24"/>
          <w:szCs w:val="24"/>
        </w:rPr>
        <w:lastRenderedPageBreak/>
        <w:t>person prohibitions apply where relevant. SWAG must not permit a barred individual to perform regulated activity from which they are barred.</w:t>
      </w:r>
    </w:p>
    <w:p w14:paraId="6F7C5450"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DBS certificates and disclosures will be handled confidentially. Decisions concerning disclosed information require an individualised, role-related assessment, consistent with applicable law and DBS guidance. Only minimal checking metadata, not unnecessary certificate copies or conviction detail, should be retained in the recruitment record.</w:t>
      </w:r>
    </w:p>
    <w:p w14:paraId="0FBB835E"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9. Single Central Record (SCR) and secure records</w:t>
      </w:r>
    </w:p>
    <w:p w14:paraId="27AB5BD5"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SWAG will maintain a restricted-access Single Central Record or equivalent central safeguarding recruitment register as an organisational safeguarding control. It will show, where relevant, identity verification, right to work, reference status, required qualifications, DBS level and certificate date, barred-list eligibility and result, training and outstanding actions. A school’s statutory SCR requirements should not be represented as automatically binding on SWAG.</w:t>
      </w:r>
    </w:p>
    <w:p w14:paraId="73EEB412"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Recruitment material, check results and candidate information will be handled under SWAG’s retention schedule and privacy notice. Access will be limited to authorised personnel. Regular audits will check completeness and address missing or expired arrangements.</w:t>
      </w:r>
    </w:p>
    <w:p w14:paraId="277F1180"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10. Starting work, supervision and induction</w:t>
      </w:r>
    </w:p>
    <w:p w14:paraId="50CF11D3"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Ordinarily no person will undertake unsupervised participant-facing duties before the necessary checks are complete. Where any lawful start-before-completion arrangement is considered, it requires a written role-specific risk assessment, confirmation that prohibited activities will not occur, a defined supervision plan, director authorisation and an end date; a pending DBS check alone is not permission to perform barred or otherwise prohibited work.</w:t>
      </w:r>
    </w:p>
    <w:p w14:paraId="32EB9994"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Induction must cover safeguarding, codes of conduct, professional boundaries, online safety, mobile devices, whistleblowing, lone working, health and safety, reporting routes and any role-specific training. Probation and supervision should review capability and safeguarding practice.</w:t>
      </w:r>
    </w:p>
    <w:p w14:paraId="136F9903"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11. Volunteers, agency personnel and external partners</w:t>
      </w:r>
    </w:p>
    <w:p w14:paraId="3B4DBE30"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The same safeguarding principles apply proportionately to all individuals who may have contact with participants. SWAG must check what assurances agencies or partner organisations provide, confirm the identity of individuals attending, obtain evidence of role-appropriate checks where necessary and document who retains responsibility for supervision. Volunteers must not be assumed eligible for the same DBS level as paid staff without assessment.</w:t>
      </w:r>
    </w:p>
    <w:p w14:paraId="308616D3"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lastRenderedPageBreak/>
        <w:t>12. Allegations, concerns and referrals</w:t>
      </w:r>
    </w:p>
    <w:p w14:paraId="232658E6"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Concerns arising during selection or employment must be escalated to the DSL and relevant Directors, managed discreetly and referred to statutory safeguarding bodies where thresholds require. Where SWAG removes a person from regulated activity, or would have removed them had they not left, because relevant harm or risk criteria are met, the statutory DBS referral duty must be considered and fulfilled where applicable. Concerns must not be suppressed by a resignation or settlement agreement.</w:t>
      </w:r>
    </w:p>
    <w:p w14:paraId="112D2488"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13. Complaints, oversight and review</w:t>
      </w:r>
    </w:p>
    <w:p w14:paraId="0BDF38FF"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Applicants may raise concerns about unfair treatment or the handling of their information through SWAG’s complaints or data protection arrangements. Recruitment decisions and equality patterns should be reviewed to identify unintended barriers. This policy will be reviewed at least annually and sooner following material legal changes, safeguarding incidents or audit findings.</w:t>
      </w:r>
    </w:p>
    <w:p w14:paraId="0D9A3BF9"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14. Related documents</w:t>
      </w:r>
    </w:p>
    <w:p w14:paraId="70FB6ECF"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Safeguarding and Child Protection Policy; Equality, Diversity and Inclusion Policy; Anti-Bullying and Harassment Policy; Employee Code of Conduct; Whistleblowing Policy; Data Protection and Retention Policies; Single Central Record procedure; Mobile Phones, Smart Watches and Personal Devices Policy.</w:t>
      </w:r>
    </w:p>
    <w:p w14:paraId="78D6F39B"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Appendix A – recruitment control checklist</w:t>
      </w:r>
    </w:p>
    <w:p w14:paraId="694C7D9D"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Approve job description, safeguarding risk profile, role-specific DBS eligibility and advertisement.</w:t>
      </w:r>
    </w:p>
    <w:p w14:paraId="367BD710"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Agree essential criteria, scoring and reasonable-adjustment arrangements before shortlisting.</w:t>
      </w:r>
    </w:p>
    <w:p w14:paraId="47F65149"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Conduct structured assessment, document interview notes and challenge bias or conflicts.</w:t>
      </w:r>
    </w:p>
    <w:p w14:paraId="4F993A81"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Issue conditional offer; verify identity, right to work, references, qualifications and lawful checks.</w:t>
      </w:r>
    </w:p>
    <w:p w14:paraId="446650A9" w14:textId="77777777" w:rsidR="00F12501" w:rsidRPr="000E2B6F" w:rsidRDefault="004F3A8A" w:rsidP="000E2B6F">
      <w:pPr>
        <w:pStyle w:val="ListBullet"/>
        <w:spacing w:after="0"/>
        <w:rPr>
          <w:rFonts w:ascii="Arial" w:hAnsi="Arial" w:cs="Arial"/>
          <w:color w:val="auto"/>
          <w:sz w:val="24"/>
          <w:szCs w:val="24"/>
        </w:rPr>
      </w:pPr>
      <w:r w:rsidRPr="000E2B6F">
        <w:rPr>
          <w:rFonts w:ascii="Arial" w:hAnsi="Arial" w:cs="Arial"/>
          <w:color w:val="auto"/>
          <w:sz w:val="24"/>
          <w:szCs w:val="24"/>
        </w:rPr>
        <w:t>Record outcomes and authorisations securely; resolve discrepancies; complete induction and supervision plan.</w:t>
      </w:r>
    </w:p>
    <w:p w14:paraId="24314F85" w14:textId="77777777" w:rsidR="00F12501" w:rsidRPr="000E2B6F" w:rsidRDefault="004F3A8A">
      <w:pPr>
        <w:pStyle w:val="Heading1"/>
        <w:rPr>
          <w:rFonts w:ascii="Arial" w:hAnsi="Arial" w:cs="Arial"/>
          <w:color w:val="auto"/>
          <w:sz w:val="24"/>
          <w:szCs w:val="24"/>
        </w:rPr>
      </w:pPr>
      <w:r w:rsidRPr="000E2B6F">
        <w:rPr>
          <w:rFonts w:ascii="Arial" w:hAnsi="Arial" w:cs="Arial"/>
          <w:color w:val="auto"/>
          <w:sz w:val="24"/>
          <w:szCs w:val="24"/>
        </w:rPr>
        <w:t>Appendix B – implementation decisions</w:t>
      </w:r>
    </w:p>
    <w:p w14:paraId="12C458EB" w14:textId="77777777" w:rsidR="00F12501" w:rsidRPr="000E2B6F" w:rsidRDefault="004F3A8A">
      <w:pPr>
        <w:rPr>
          <w:rFonts w:ascii="Arial" w:hAnsi="Arial" w:cs="Arial"/>
          <w:color w:val="auto"/>
          <w:sz w:val="24"/>
          <w:szCs w:val="24"/>
        </w:rPr>
      </w:pPr>
      <w:r w:rsidRPr="000E2B6F">
        <w:rPr>
          <w:rFonts w:ascii="Arial" w:hAnsi="Arial" w:cs="Arial"/>
          <w:color w:val="auto"/>
          <w:sz w:val="24"/>
          <w:szCs w:val="24"/>
        </w:rPr>
        <w:t>Before adoption, the Directors must nominate recruitment administrators and the DSL, approve the SCR fields and retention schedule, set reference and discrepancy workflows, establish DBS eligibility decisions for each role and confirm who may authorise controlled exceptions.</w:t>
      </w:r>
    </w:p>
    <w:sectPr w:rsidR="00F12501" w:rsidRPr="000E2B6F" w:rsidSect="00034616">
      <w:headerReference w:type="default" r:id="rId11"/>
      <w:footerReference w:type="default" r:id="rId12"/>
      <w:pgSz w:w="12240" w:h="15840"/>
      <w:pgMar w:top="1224" w:right="1224" w:bottom="1037"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585C6" w14:textId="77777777" w:rsidR="003A5952" w:rsidRDefault="003A5952">
      <w:pPr>
        <w:spacing w:after="0" w:line="240" w:lineRule="auto"/>
      </w:pPr>
      <w:r>
        <w:separator/>
      </w:r>
    </w:p>
  </w:endnote>
  <w:endnote w:type="continuationSeparator" w:id="0">
    <w:p w14:paraId="5750DF53" w14:textId="77777777" w:rsidR="003A5952" w:rsidRDefault="003A5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9F56" w14:textId="77777777" w:rsidR="00F12501" w:rsidRDefault="00F1250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7BF1A" w14:textId="77777777" w:rsidR="003A5952" w:rsidRDefault="003A5952">
      <w:pPr>
        <w:spacing w:after="0" w:line="240" w:lineRule="auto"/>
      </w:pPr>
      <w:r>
        <w:separator/>
      </w:r>
    </w:p>
  </w:footnote>
  <w:footnote w:type="continuationSeparator" w:id="0">
    <w:p w14:paraId="59373946" w14:textId="77777777" w:rsidR="003A5952" w:rsidRDefault="003A5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A297" w14:textId="77777777" w:rsidR="000E2B6F" w:rsidRPr="000E2B6F" w:rsidRDefault="000E2B6F" w:rsidP="000E2B6F">
    <w:pPr>
      <w:pStyle w:val="Header"/>
      <w:jc w:val="right"/>
      <w:rPr>
        <w:lang w:val="en-GB"/>
      </w:rPr>
    </w:pPr>
    <w:r w:rsidRPr="000E2B6F">
      <w:rPr>
        <w:noProof/>
        <w:lang w:val="en-GB"/>
      </w:rPr>
      <w:drawing>
        <wp:anchor distT="0" distB="0" distL="114300" distR="114300" simplePos="0" relativeHeight="251658240" behindDoc="1" locked="0" layoutInCell="1" allowOverlap="1" wp14:anchorId="303202DB" wp14:editId="26E96FE4">
          <wp:simplePos x="0" y="0"/>
          <wp:positionH relativeFrom="column">
            <wp:posOffset>5334000</wp:posOffset>
          </wp:positionH>
          <wp:positionV relativeFrom="paragraph">
            <wp:posOffset>-312420</wp:posOffset>
          </wp:positionV>
          <wp:extent cx="1371600" cy="1371600"/>
          <wp:effectExtent l="0" t="0" r="0" b="0"/>
          <wp:wrapTight wrapText="bothSides">
            <wp:wrapPolygon edited="0">
              <wp:start x="0" y="0"/>
              <wp:lineTo x="0" y="21300"/>
              <wp:lineTo x="21300" y="21300"/>
              <wp:lineTo x="21300" y="0"/>
              <wp:lineTo x="0" y="0"/>
            </wp:wrapPolygon>
          </wp:wrapTight>
          <wp:docPr id="970181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A95B11" w14:textId="77777777" w:rsidR="00F12501" w:rsidRDefault="00F1250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3570966">
    <w:abstractNumId w:val="8"/>
  </w:num>
  <w:num w:numId="2" w16cid:durableId="1136676017">
    <w:abstractNumId w:val="6"/>
  </w:num>
  <w:num w:numId="3" w16cid:durableId="2080130176">
    <w:abstractNumId w:val="5"/>
  </w:num>
  <w:num w:numId="4" w16cid:durableId="314846230">
    <w:abstractNumId w:val="4"/>
  </w:num>
  <w:num w:numId="5" w16cid:durableId="454523030">
    <w:abstractNumId w:val="7"/>
  </w:num>
  <w:num w:numId="6" w16cid:durableId="1746951941">
    <w:abstractNumId w:val="3"/>
  </w:num>
  <w:num w:numId="7" w16cid:durableId="647828921">
    <w:abstractNumId w:val="2"/>
  </w:num>
  <w:num w:numId="8" w16cid:durableId="912353632">
    <w:abstractNumId w:val="1"/>
  </w:num>
  <w:num w:numId="9" w16cid:durableId="1539272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B6F"/>
    <w:rsid w:val="0015074B"/>
    <w:rsid w:val="00246A4C"/>
    <w:rsid w:val="0029639D"/>
    <w:rsid w:val="00326F90"/>
    <w:rsid w:val="003A5952"/>
    <w:rsid w:val="004F3A8A"/>
    <w:rsid w:val="006024D2"/>
    <w:rsid w:val="009C2904"/>
    <w:rsid w:val="00AA1D8D"/>
    <w:rsid w:val="00B47730"/>
    <w:rsid w:val="00B55997"/>
    <w:rsid w:val="00CB0664"/>
    <w:rsid w:val="00D92284"/>
    <w:rsid w:val="00F12501"/>
    <w:rsid w:val="00F876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5A5C8D"/>
  <w14:defaultImageDpi w14:val="300"/>
  <w15:docId w15:val="{A52980F0-5DA6-41A3-BA67-83302827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color w:val="242D36"/>
      <w:sz w:val="20"/>
    </w:rPr>
  </w:style>
  <w:style w:type="paragraph" w:styleId="Heading1">
    <w:name w:val="heading 1"/>
    <w:basedOn w:val="Normal"/>
    <w:next w:val="Normal"/>
    <w:link w:val="Heading1Char"/>
    <w:uiPriority w:val="9"/>
    <w:qFormat/>
    <w:rsid w:val="00FC693F"/>
    <w:pPr>
      <w:keepNext/>
      <w:keepLines/>
      <w:spacing w:before="240" w:after="100"/>
      <w:outlineLvl w:val="0"/>
    </w:pPr>
    <w:rPr>
      <w:b/>
      <w:bCs/>
      <w:color w:val="183245"/>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b/>
      <w:bCs/>
      <w:color w:val="183245"/>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40" w:after="100" w:line="240" w:lineRule="auto"/>
      <w:contextualSpacing/>
    </w:pPr>
    <w:rPr>
      <w:b/>
      <w:color w:val="18324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19DE6C5C12549A7CD5DE7147CB57B" ma:contentTypeVersion="7" ma:contentTypeDescription="Create a new document." ma:contentTypeScope="" ma:versionID="e088cdbf948f508e0373d40faffa4f92">
  <xsd:schema xmlns:xsd="http://www.w3.org/2001/XMLSchema" xmlns:xs="http://www.w3.org/2001/XMLSchema" xmlns:p="http://schemas.microsoft.com/office/2006/metadata/properties" xmlns:ns2="f25ba390-3ef3-47eb-a10a-a258d42f6e15" targetNamespace="http://schemas.microsoft.com/office/2006/metadata/properties" ma:root="true" ma:fieldsID="ed4d608fe50dad2889db2f04302b6565" ns2:_="">
    <xsd:import namespace="f25ba390-3ef3-47eb-a10a-a258d42f6e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ba390-3ef3-47eb-a10a-a258d42f6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3E295-41D5-4AAD-BE09-B4F5A9C1E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ba390-3ef3-47eb-a10a-a258d42f6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564BC3-4CD3-4E10-8526-6186E1E920AC}">
  <ds:schemaRefs>
    <ds:schemaRef ds:uri="http://schemas.microsoft.com/sharepoint/v3/contenttype/forms"/>
  </ds:schemaRefs>
</ds:datastoreItem>
</file>

<file path=customXml/itemProps3.xml><?xml version="1.0" encoding="utf-8"?>
<ds:datastoreItem xmlns:ds="http://schemas.openxmlformats.org/officeDocument/2006/customXml" ds:itemID="{E86AD947-A2EB-4B25-805A-215FC2C6CB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1859</Words>
  <Characters>10601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Renae Burchell</cp:lastModifiedBy>
  <cp:revision>2</cp:revision>
  <dcterms:created xsi:type="dcterms:W3CDTF">2026-10-26T14:47:00Z</dcterms:created>
  <dcterms:modified xsi:type="dcterms:W3CDTF">2026-10-26T14:47:00Z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0x01010052719DE6C5C12549A7CD5DE7147CB57B</vt:lpwstr>
  </property>
</Properties>
</file>